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DD" w:rsidRPr="009A35DD" w:rsidRDefault="009A35DD" w:rsidP="009A35DD">
      <w:pPr>
        <w:keepNext/>
        <w:keepLine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</w:pPr>
      <w:bookmarkStart w:id="0" w:name="_Toc219732011"/>
      <w:bookmarkStart w:id="1" w:name="_Toc219732128"/>
      <w:bookmarkStart w:id="2" w:name="_GoBack"/>
      <w:bookmarkEnd w:id="2"/>
      <w:r w:rsidRPr="009A35DD"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  <w:t>Методические материалы для проведения теоретического (лекция) и практического (тренинг) занятия по морально-психологической подготовке личного состава органов, организаций, подразделений МВД России по финансовой грамотности (дорожная карта, презентация)</w:t>
      </w:r>
      <w:bookmarkEnd w:id="0"/>
      <w:bookmarkEnd w:id="1"/>
    </w:p>
    <w:p w:rsidR="009A35DD" w:rsidRPr="009A35DD" w:rsidRDefault="009A35DD" w:rsidP="009A35DD">
      <w:pPr>
        <w:spacing w:after="0" w:line="240" w:lineRule="auto"/>
        <w:ind w:firstLine="720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20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1.1. Методические материалы для проведения теоретического занятия по морально-психологической подготовке личного состава органов, организаций, подразделений МВД России.</w:t>
      </w:r>
    </w:p>
    <w:p w:rsidR="009A35DD" w:rsidRPr="009A35DD" w:rsidRDefault="009A35DD" w:rsidP="009A35DD">
      <w:pPr>
        <w:spacing w:after="0" w:line="240" w:lineRule="auto"/>
        <w:ind w:firstLine="720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20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«Эффективное управление финансами. Формирование навыка финансового планирования».</w:t>
      </w:r>
    </w:p>
    <w:p w:rsidR="009A35DD" w:rsidRPr="009A35DD" w:rsidRDefault="009A35DD" w:rsidP="009A35DD">
      <w:pPr>
        <w:tabs>
          <w:tab w:val="left" w:pos="108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Форма проведения занятия: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 лекция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Целевая группа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>: личный состав подразделения</w:t>
      </w:r>
    </w:p>
    <w:p w:rsidR="009A35DD" w:rsidRPr="009A35DD" w:rsidRDefault="009A35DD" w:rsidP="009A35DD">
      <w:pPr>
        <w:tabs>
          <w:tab w:val="left" w:pos="108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A35DD" w:rsidRPr="009A35DD" w:rsidRDefault="009A35DD" w:rsidP="009A35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Цель занятия: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9A35DD" w:rsidRPr="009A35DD" w:rsidRDefault="009A35DD" w:rsidP="009A35DD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>Повышение уровня знаний личного состава в области управления личными финансами.</w:t>
      </w:r>
    </w:p>
    <w:p w:rsidR="009A35DD" w:rsidRPr="009A35DD" w:rsidRDefault="009A35DD" w:rsidP="009A35DD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 Формирование компетенции финансовой грамотности сотрудника. </w:t>
      </w:r>
    </w:p>
    <w:p w:rsidR="009A35DD" w:rsidRPr="009A35DD" w:rsidRDefault="009A35DD" w:rsidP="009A35D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>Профилактика и способы защиты от кредитной зависимости.</w:t>
      </w:r>
    </w:p>
    <w:p w:rsidR="009A35DD" w:rsidRPr="009A35DD" w:rsidRDefault="009A35DD" w:rsidP="009A35D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>Формирование навыка осознанного использования финансовых продуктов и услуг, посредством распознавания приемов агрессивного маркетинга (силовой рекламы и т.п.)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9A35DD">
        <w:rPr>
          <w:rFonts w:ascii="PT Astra Serif" w:eastAsia="Times New Roman" w:hAnsi="PT Astra Serif" w:cs="Times New Roman"/>
          <w:b/>
          <w:sz w:val="28"/>
          <w:szCs w:val="28"/>
        </w:rPr>
        <w:t>Основные вопросы:</w:t>
      </w:r>
    </w:p>
    <w:p w:rsidR="009A35DD" w:rsidRPr="009A35DD" w:rsidRDefault="009A35DD" w:rsidP="009A35D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>Понятие финансовой грамотности.</w:t>
      </w:r>
    </w:p>
    <w:p w:rsidR="009A35DD" w:rsidRPr="009A35DD" w:rsidRDefault="009A35DD" w:rsidP="009A35D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</w:rPr>
      </w:pPr>
      <w:r w:rsidRPr="009A35DD">
        <w:rPr>
          <w:rFonts w:ascii="PT Astra Serif" w:eastAsia="Times New Roman" w:hAnsi="PT Astra Serif" w:cs="Times New Roman"/>
          <w:sz w:val="28"/>
          <w:szCs w:val="28"/>
        </w:rPr>
        <w:t>Стратегия развития навыков эффективного использования финансовых средств.</w:t>
      </w:r>
    </w:p>
    <w:p w:rsidR="009A35DD" w:rsidRPr="009A35DD" w:rsidRDefault="009A35DD" w:rsidP="009A35D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</w:rPr>
      </w:pPr>
      <w:r w:rsidRPr="009A35DD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</w:rPr>
        <w:t>Ошибки в финансовом поведении граждан, ведущие к возникновению закредитованности.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Введение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Актуальность данной темы продиктована навязываемой агрессивной политикой и стратегиями рекламных кампаний «покупай больше, плати меньше», «распродажа на все», «долой переплаты» и т.д. Но действительно ли так выгодны и эффективны данные слоганы для личного бюджета? И как все-таки обеспечить себе подушку безопасности и накопить на желаемую мечту без долгов и переплат и не остаться в конечном счете банкротом?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В современном мире ежедневно возникает огромное количество финансовых продуктов, понятий и терминов, связанных с ними и с каждым днем становится все сложнее разобраться и оценить степень их необходимости и важности. Для свободной ориентации в финансовом мире на государственном уровне все больше ведется политика финансового просвещения населения. Помимо навязчивой рекламы в данный момент </w:t>
      </w:r>
      <w:r w:rsidRPr="009A35DD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существует множество сайтов и платформ, направленных на повышение информированности населения, профилактику преступлений экономической направленности.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1. «Понятие финансовой грамотности».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Для продвижения финансовых продуктов и повышения эффективности воздействия, маркетологи используют репрезентативные системы людей, преимущественно визуальную и аудиальную. Рекламные слоганы привлекают внимание своей яркостью, гармоничностью, эстетикой визуального исполнения; персонализированностью предложений; емкостью, легкой запоминаемостью фраз, простотой и навязчивостью мелодий исполнения, а также упрощенной процедурой оформления займов. Об эффективности этой деятельности говорит рекордный рост уровня кредитов у населения нашей страны за последние пять лет. По данным Центрального Банка России, с 2020 по 2025 год совокупный кредитный портфель физических лиц увеличился на 84,6%, а доля расходов на обслуживание долга выросла с 22,3% до 35,7% от дохода населения. По итогам июня 2025 года объем выданных кредитов наличными превысил 284 миллиарда рублей, увеличившись по сравнению с предыдущими месяцами на 17%.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Доля экономически активного населения с открытыми кредитными обязательствами в 2025 году достигла 58,3% (66,5 млн. человек). Наиболее закредитованными являются граждане нашей страны от 26 до 45 лет.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Кроме того, по тем же данным из открытых источников, с не меньшей скоростью растет уровень просроченной задолженности. За последние 5 лет он вырос с 3,8 до 5,7%.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Финансовая грамотность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– это сочетание осведомленности, знаний, навыков, установок и поведения, связанных с финансами, необходимых для принятия разумных финансовых решений и достижения личного финансового благополучия.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Концепция финансовой грамотности охватывает широкий спектр тем: от правильного составления бюджета, до понимания сложных финансовых инструментов, таких как кредиты и инвестиции.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По данным национального исследования финансовой грамотности, только 38% россиян могут правильно рассчитать эффективную процентную ставку по кредитам и оценить реальную стоимость заемных средств. Такая тенденция ведет к необдуманным кредитным решениям и переоценке собственных возможностей по обслуживанию долга.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Эффективное управление финансами (личными и/или семейными) начинается с понимания самых элементарных принципов семейной экономики, а также с совершения простых действий по контролю над теми деньгами, которые проходят через руки человека каждый день.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Как улучшить качество жизни? Прежде всего, научиться эффективно распоряжаться своими финансами! Что делать? Учитывать доходы и расходы; планировать; контролировать расходы; оптимизировать.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Согласно докладу Всемирного банка «Паритет покупательной способности и реальные расходы» наибольшие статьи затрат у человека составляет питание (25%), транспортные расходы (10%), одежда (9%), коммунальные расходы (9%) и т.д. Но самое интересное, что около 30% бюджета исчезает бесследно, на так называемые импульсивные непланируемые траты. В этой связи, возникает объективная необходимость в понимании основ устойчивого бюджета.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Устойчивый бюджет представляет из себя превышение доходов над расходами и формирование сбережений для достижения таких целей, как: образование, покупки (телефон, планшет, машина, квартира и т.д.) и формирование пассивного дохода.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2. «Стратегия развития навыков эффективного использования финансовых средств».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Совершенно очевидна необходимость развития навыков эффективного использования финансовых средств.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Для развития этих навыков и умений предлагается проанализировать и обсудить алгоритм поведения, требующий теоретической проработки и отработки практических навыков.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 xml:space="preserve">Этапы формирования устойчивого бюджета.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Шаг 1.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i/>
          <w:sz w:val="28"/>
          <w:szCs w:val="28"/>
        </w:rPr>
        <w:t>Учет расходов и доходов.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Чтобы избежать ситуации нехватки денег, надо правильно спланировать будущие расходы и доходы. Необходимо понять – сколько денег можно будет потратить в следующем месяце. Нужно подсчитать, сколько заработано и потрачено в прошлом месяце. В течение месяца фиксировать все доходы и расходы.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Выделяют 4 способа ведения учета доходов и расходов: 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блокнот и ручка;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приложения для телефонов;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специальные программы для ведения бюджета;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отчет о доходах и расходах по карте через интернет-банк.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Наиболее эффективным и рациональным способом учета расходов и доходов является использование онлайн приложений для телефона. На телефон наиболее известные и распространенные приложения для контроля личного бюджета:</w:t>
      </w:r>
    </w:p>
    <w:p w:rsidR="009A35DD" w:rsidRPr="009A35DD" w:rsidRDefault="009A35DD" w:rsidP="009A35DD">
      <w:pPr>
        <w:spacing w:after="0" w:line="240" w:lineRule="auto"/>
        <w:ind w:firstLine="1418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бюджет и финансы – Деньги ОК;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учет расходов – Бюджет ОК;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простой семейный бюджет;</w:t>
      </w:r>
    </w:p>
    <w:p w:rsidR="009A35DD" w:rsidRPr="009A35DD" w:rsidRDefault="009A35DD" w:rsidP="009A35DD">
      <w:pPr>
        <w:spacing w:after="0" w:line="240" w:lineRule="auto"/>
        <w:ind w:left="1429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планировщик бюджета и др.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iCs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Преимуществами данного способа являются: ведение бюджета одновременно несколькими людьми, фотография чеков и распознавание расходов, «Автоматический бюджет» рассчитывает основные статьи расходов за месяц и др.</w:t>
      </w:r>
      <w:r w:rsidRPr="009A35DD">
        <w:rPr>
          <w:rFonts w:ascii="PT Astra Serif" w:eastAsia="Calibri" w:hAnsi="PT Astra Serif" w:cs="Times New Roman"/>
          <w:i/>
          <w:iCs/>
          <w:sz w:val="28"/>
          <w:szCs w:val="28"/>
        </w:rPr>
        <w:t xml:space="preserve">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lastRenderedPageBreak/>
        <w:t>Шаг 2.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i/>
          <w:sz w:val="28"/>
          <w:szCs w:val="28"/>
        </w:rPr>
        <w:t>Планирование.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Давайте проанализируем какое количество денежных средств зарабатывает человек в течение своей жизни. Произведя математические расчеты, мы получаем следующую таблицу. При среднемесячном доходе в 50000 рублей, человек в течение 35 лет службы зарабатывает 21 миллион рублей, при 80000 рублей – более 33 миллионов рублей, при 140000 рублей – около 60 миллионов рублей. Подводя итог, приходим к выводу, что в течение своей жизни сотрудник заработает целое состояние.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Чтобы грамотно распорядиться накопленным состоянием, необходимо составить личный финансовый план.</w:t>
      </w:r>
      <w:r w:rsidRPr="009A35DD">
        <w:rPr>
          <w:rFonts w:ascii="PT Astra Serif" w:eastAsia="Tahoma" w:hAnsi="PT Astra Serif" w:cs="Times New Roman"/>
          <w:kern w:val="24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sz w:val="28"/>
          <w:szCs w:val="28"/>
        </w:rPr>
        <w:t>ЛФП — это личная финансовая стратегия, индивидуальный план движения к Вашим личным финансовым целям. Как составить ЛФП: определить свои финансовые цели, посчитать их будущую стоимость, найти подходящий темп движения к целям. Необходимо спланировать свой бюджет: на год, а потом ближайший месяц и неделю – это поможет определить границы дозволенного для бюджета.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Шаг 3.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i/>
          <w:sz w:val="28"/>
          <w:szCs w:val="28"/>
        </w:rPr>
        <w:t>Контроль.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Данные о доходах и расходах и финансовый план – основа для принятия взвешенных решений. Их можно разделить на: спонтанные и осознанные. Научитесь переводить спонтанные траты в осознанные! Научитесь обращать внимание и распознавать два вида влияния: Приемы, которые заставляют человека купить больше товаров или услуг; Реклама финансовых продуктов, которая может привести к дополнительным расходам при кредитовании или потерям при инвестициях.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Шаг 4.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i/>
          <w:sz w:val="28"/>
          <w:szCs w:val="28"/>
        </w:rPr>
        <w:t>Оптимизация.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Всегда есть возможность улучшить личное финансовое положение за счет оптимизации текущего состояния. Это можно сделать двумя способами: посредством увеличения доходов и сокращения расходов.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Как сэкономить на повседневных расходах? Выход есть! Это использование: карт с начислением процента на остаток, с начислением миль авиакомпаний, а также карты с частичным возвратом денег за покупки тех или иных услуг.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Характерным элементом «устойчивого бюджета» служит формирование «подушки финансовой безопасности».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Минимальный размер «подушки финансовой безопасности» составляет не меньше трехмесячной нормы Ваших расходов.</w:t>
      </w:r>
      <w:r w:rsidRPr="009A35DD">
        <w:rPr>
          <w:rFonts w:ascii="PT Astra Serif" w:eastAsia="Tahoma" w:hAnsi="PT Astra Serif" w:cs="Times New Roman"/>
          <w:kern w:val="24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sz w:val="28"/>
          <w:szCs w:val="28"/>
        </w:rPr>
        <w:t>Давайте рассмотрим расчет ПФН на примере: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Расходы за месяц составляют 10000 рублей в месяц.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Таким образом, минимальная «подушка безопасности» равна: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3*10000 = 30000 рублей.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Таким образом, после рассмотрении четырех этапов формирования устойчивого бюджета формируется «финансовая подкованность», позволяющая осознанно контролировать свои траты и копить на поставленные цели.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«Ошибки в финансовом поведении граждан, ведущие к возникновению закредитованности».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Не всегда получается накопить на мечту полную сумму покупки и тогда приходится обращаться в кредитные организации. Прежде чем подписывать кредитный договор, необходимо обратить внимание на </w:t>
      </w:r>
      <w:r w:rsidRPr="009A35DD">
        <w:rPr>
          <w:rFonts w:ascii="PT Astra Serif" w:eastAsia="Calibri" w:hAnsi="PT Astra Serif" w:cs="Times New Roman"/>
          <w:b/>
          <w:sz w:val="28"/>
          <w:szCs w:val="28"/>
        </w:rPr>
        <w:t>три кредитных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b/>
          <w:sz w:val="28"/>
          <w:szCs w:val="28"/>
        </w:rPr>
        <w:t>нюанса</w:t>
      </w:r>
      <w:r w:rsidRPr="009A35DD">
        <w:rPr>
          <w:rFonts w:ascii="PT Astra Serif" w:eastAsia="Calibri" w:hAnsi="PT Astra Serif" w:cs="Times New Roman"/>
          <w:sz w:val="28"/>
          <w:szCs w:val="28"/>
        </w:rPr>
        <w:t>, способствующих финансовому разорению.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Займы с показателем долговой нагрузки свыше 30%.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Например, если доходы человека составляют 15000 рублей, из которых 4500 рублей уходит на погашение кредитов, его ПДН равен 30%.  При долговой нагрузке выше 30% лучше остановиться и не брать другие займы.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b/>
          <w:sz w:val="28"/>
          <w:szCs w:val="28"/>
        </w:rPr>
        <w:t>Кредит в магазине.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Финансово грамотный человек планирует крупные покупки заранее, регулярно откладывает на это часть своего бюджета. Также у магазина может быть заключен партнерский договор не только с банками, но и с микрофинансовыми организациями (МФО). Покупатель может подписать договор, не придав значения тому обстоятельству, что он берет именно микрозайм. 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Третий самый опасный кредит, с которым не стоит иметь дело. Это </w:t>
      </w:r>
      <w:r w:rsidRPr="009A35DD">
        <w:rPr>
          <w:rFonts w:ascii="PT Astra Serif" w:eastAsia="Calibri" w:hAnsi="PT Astra Serif" w:cs="Times New Roman"/>
          <w:b/>
          <w:sz w:val="28"/>
          <w:szCs w:val="28"/>
        </w:rPr>
        <w:t>микрофинансовые организации (МФО).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В сравнении с банками они предлагают более простые условия оформления займа: достаточно предъявить минимальный набор документов (до недавнего времени это был только паспорт) и подписать кредитный договор. На оформление сделки уходит всего несколько минут.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За простотой и удобством скрываются довольно существенные риски. Ставка по кредитам в МФО может доходить до 0,8% в день, или 292% годовых. В таких условиях стоит одолжить 100000 рублей, и через год Вы будете должны уже 392000 рублей (100000 + 292%). Такая долговая нагрузка может усугубить финансовое положение человека и может привести к банкротству.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Если человек не справляется с уплатой кредитных обязательств, то в соответствии с 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ФЗ от 26.10.2002 № 127-ФЗ «О несостоятельности (банкротстве)» 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он может признать себя банкротом.  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Несостоятельность (банкротство) </w:t>
      </w:r>
      <w:r w:rsidRPr="009A35DD">
        <w:rPr>
          <w:rFonts w:ascii="PT Astra Serif" w:eastAsia="Calibri" w:hAnsi="PT Astra Serif" w:cs="Times New Roman"/>
          <w:sz w:val="28"/>
          <w:szCs w:val="28"/>
        </w:rPr>
        <w:t>–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это 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>признанная арбитражным судом или наступившая в результате завершения процедуры внесудебного банкротства гражданина, неспособность должника в полном объеме удовлетворить требования кредиторов по денежным обязательствам, о выплате выходных пособий и (или) об оплате труда лиц, работающих или работавших по трудовому договору, и (или) исполнить обязанность по уплате обязательных платежей.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</w:t>
      </w:r>
      <w:r w:rsidRPr="009A35DD">
        <w:rPr>
          <w:rFonts w:ascii="PT Astra Serif" w:eastAsia="Times New Roman" w:hAnsi="PT Astra Serif" w:cs="Times New Roman"/>
          <w:sz w:val="28"/>
          <w:szCs w:val="28"/>
        </w:rPr>
        <w:t>оказатели закредитованности граждан все время растут и носят уже угрожающий масштаб.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Исходя из статистики Федресурса: средняя длительность судебных процедур в 2023 году по реализации имущества граждан составила 271 день, а по реструктуризации долгов – 199 дней. То есть, рекламные обещания «списать долги быстро» оказываются ложью.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lastRenderedPageBreak/>
        <w:t>Исходя из статистики Федресурса по количеству процедур внесудебного банкротства в 2022 году более 50% заявлений о банкротстве ФЛ были возвращены, в 2023 году – около 30%.  То есть, гарантий не существует. Хотя клиента будут уверять, что все долги будут списаны и банкротом его обязательно признают.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Не все так просто с процедурой банкротства физических лиц, как обещают сказочные рекламные объявления о банкротстве.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1. Бесплатно и дешево не будет! И это первое, с чем сталкивается должник. Стоимость услуг самих банкротных юристов составит от 50000 рублей в регионах и от 150000 рублей в столицах, и цену клиенту часто не называют до последнего.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2.  Все долги не спишут. По закону есть ряд задолженностей, которые не спишут даже после завершения банкротства. Также не спишут конкретный долг, если будет доказано, что гражданин вел себя недобросовестно и уклонялся от выплаты этого долга; или, что при оформлении кредита предоставил ложную информацию о себе и доходах.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3. Имущество пострадает в любом случае. Должника признают банкротом, если суд решит, что гражданин больше не может погашать свои долги. И только после того, как на торгах будет продано все возможное имущество и изъяты все допустимые по закону доходы.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4. После «помощи» может стать только хуже. Некоторые компании готовы предложить должникам любые способы спасения – в том числе не очень законные. К примеру, предложат сохранить имущество путем его продажи или раздаривания. И умолчат о том, что такие сделки не только будет легко оспорить, но они еще и сработают против должника, показав его недобросовестность перед судом и кредиторами.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3" w:name="_Hlk185235754"/>
      <w:r w:rsidRPr="009A35DD">
        <w:rPr>
          <w:rFonts w:ascii="PT Astra Serif" w:eastAsia="Calibri" w:hAnsi="PT Astra Serif" w:cs="Times New Roman"/>
          <w:sz w:val="28"/>
          <w:szCs w:val="28"/>
        </w:rPr>
        <w:t>Необходимо помнить – если дают гарантии «100% списания долгов» –это обман!</w:t>
      </w:r>
    </w:p>
    <w:bookmarkEnd w:id="3"/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Пример из судебной практики.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Гражданин «Х» набрал кредитов: 3,5 млн рублей долга и 572000 рублей неустойки. Ежемесячные взносы составили 120000 рублей, а зарплата у гражданина «Х» 74000 рублей. Должник подал на банкротство.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Кредиторы были против списания – человек работает, пусть платит. И предложили мировое соглашение: реструктуризация кредитов сроком на 10 лет с ежемесячным взносом 45000 рублей. Должник от мирового отказался.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Финансовый управляющий не нашел имущества и ходатайствовал о завершении процедуры и списании долгов. Но решение суда о банкротстве физического лица содержало отказ в списании задолженностей со ссылкой на п.6 ст.213.28 </w:t>
      </w:r>
      <w:r w:rsidRPr="009A35DD">
        <w:rPr>
          <w:rFonts w:ascii="PT Astra Serif" w:eastAsia="Calibri" w:hAnsi="PT Astra Serif" w:cs="Times New Roman"/>
          <w:bCs/>
          <w:sz w:val="28"/>
          <w:szCs w:val="28"/>
        </w:rPr>
        <w:t>ФЗ от 26.10.2002 № 127-ФЗ «О несостоятельности (банкротстве)»</w:t>
      </w:r>
      <w:r w:rsidRPr="009A35DD">
        <w:rPr>
          <w:rFonts w:ascii="PT Astra Serif" w:eastAsia="Calibri" w:hAnsi="PT Astra Serif" w:cs="Times New Roman"/>
          <w:b/>
          <w:bCs/>
          <w:sz w:val="28"/>
          <w:szCs w:val="28"/>
        </w:rPr>
        <w:t>.</w:t>
      </w:r>
      <w:r w:rsidRPr="009A35DD">
        <w:rPr>
          <w:rFonts w:ascii="PT Astra Serif" w:eastAsia="Calibri" w:hAnsi="PT Astra Serif" w:cs="Times New Roman"/>
          <w:sz w:val="28"/>
          <w:szCs w:val="28"/>
        </w:rPr>
        <w:t xml:space="preserve"> Апелляционный и окружной суды согласились с данным решением. Также суды негативно расценили отказ должника от заключения мирового соглашения.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Таким образом, были рассмотрены действенные инструменты по эффективному управлению личным бюджетом, изучены ожидаемые последствия при халатном отношении к денежным средствам.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Формула успеха в мире финансов, быть успешным – значит быть: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ответственным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экономным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рациональным. </w:t>
      </w:r>
    </w:p>
    <w:p w:rsidR="009A35DD" w:rsidRPr="009A35DD" w:rsidRDefault="009A35DD" w:rsidP="009A35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Исходя из вышеизложенного, наиболее эффективной стратегий финансовограмотного поведения является:</w:t>
      </w:r>
    </w:p>
    <w:p w:rsidR="009A35DD" w:rsidRPr="009A35DD" w:rsidRDefault="009A35DD" w:rsidP="009A35D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Планирование жизненных этапов заранее, без импульсивного принятия важных решений.</w:t>
      </w:r>
    </w:p>
    <w:p w:rsidR="009A35DD" w:rsidRPr="009A35DD" w:rsidRDefault="009A35DD" w:rsidP="009A35D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 xml:space="preserve">Ведение учета доходов и расходов. </w:t>
      </w:r>
    </w:p>
    <w:p w:rsidR="009A35DD" w:rsidRPr="009A35DD" w:rsidRDefault="009A35DD" w:rsidP="009A35D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5DD">
        <w:rPr>
          <w:rFonts w:ascii="PT Astra Serif" w:eastAsia="Calibri" w:hAnsi="PT Astra Serif" w:cs="Times New Roman"/>
          <w:sz w:val="28"/>
          <w:szCs w:val="28"/>
        </w:rPr>
        <w:t>Формирование личного финансового плана.</w:t>
      </w:r>
    </w:p>
    <w:p w:rsidR="00412D66" w:rsidRDefault="00412D66"/>
    <w:sectPr w:rsidR="00412D66" w:rsidSect="009A35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10" w:rsidRDefault="00D43C10" w:rsidP="009A35DD">
      <w:pPr>
        <w:spacing w:after="0" w:line="240" w:lineRule="auto"/>
      </w:pPr>
      <w:r>
        <w:separator/>
      </w:r>
    </w:p>
  </w:endnote>
  <w:endnote w:type="continuationSeparator" w:id="0">
    <w:p w:rsidR="00D43C10" w:rsidRDefault="00D43C10" w:rsidP="009A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10" w:rsidRDefault="00D43C10" w:rsidP="009A35DD">
      <w:pPr>
        <w:spacing w:after="0" w:line="240" w:lineRule="auto"/>
      </w:pPr>
      <w:r>
        <w:separator/>
      </w:r>
    </w:p>
  </w:footnote>
  <w:footnote w:type="continuationSeparator" w:id="0">
    <w:p w:rsidR="00D43C10" w:rsidRDefault="00D43C10" w:rsidP="009A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25830"/>
      <w:docPartObj>
        <w:docPartGallery w:val="Page Numbers (Top of Page)"/>
        <w:docPartUnique/>
      </w:docPartObj>
    </w:sdtPr>
    <w:sdtEndPr/>
    <w:sdtContent>
      <w:p w:rsidR="009A35DD" w:rsidRDefault="00D43C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C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35DD" w:rsidRDefault="009A3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4C40"/>
    <w:multiLevelType w:val="hybridMultilevel"/>
    <w:tmpl w:val="1682F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A81BFC"/>
    <w:multiLevelType w:val="hybridMultilevel"/>
    <w:tmpl w:val="C99270A8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364B0C41"/>
    <w:multiLevelType w:val="hybridMultilevel"/>
    <w:tmpl w:val="C99270A8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DD"/>
    <w:rsid w:val="003F612F"/>
    <w:rsid w:val="00412D66"/>
    <w:rsid w:val="00705C62"/>
    <w:rsid w:val="009A35DD"/>
    <w:rsid w:val="00D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5DD"/>
  </w:style>
  <w:style w:type="paragraph" w:styleId="a5">
    <w:name w:val="footer"/>
    <w:basedOn w:val="a"/>
    <w:link w:val="a6"/>
    <w:uiPriority w:val="99"/>
    <w:semiHidden/>
    <w:unhideWhenUsed/>
    <w:rsid w:val="009A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5DD"/>
  </w:style>
  <w:style w:type="paragraph" w:styleId="a5">
    <w:name w:val="footer"/>
    <w:basedOn w:val="a"/>
    <w:link w:val="a6"/>
    <w:uiPriority w:val="99"/>
    <w:semiHidden/>
    <w:unhideWhenUsed/>
    <w:rsid w:val="009A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академия МВД РФ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apodshibiakin</cp:lastModifiedBy>
  <cp:revision>2</cp:revision>
  <cp:lastPrinted>2026-01-20T16:15:00Z</cp:lastPrinted>
  <dcterms:created xsi:type="dcterms:W3CDTF">2026-01-21T07:12:00Z</dcterms:created>
  <dcterms:modified xsi:type="dcterms:W3CDTF">2026-01-21T07:12:00Z</dcterms:modified>
</cp:coreProperties>
</file>